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10.12.2019, оставленным без изменения постановлением Девятого арбитражного апелляционного суда от 10.02.2020, иск удовлетворен частично, с предприятия в пользу 2 министерства взыскано 182 534 рублей неустойки, в остальной части в удовлетворении иска отказано. Постановлением Арбитражного суда Московского округа от 06.08.2020 указанные судебные акты оставлены без изменения. Предприятие обратилось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частично, исходя из установленных обстоятельств, свидетельствующих о несвоевременном исполнении предприятием как подрядчиком обязательства по отдельному этапу работ, однако произвели перерасчет суммы неустойки с учетом ставок рефинансирования, периодов просрочки, соразмерности неустойки нарушенному обязательству. Доводы кассационной жалобы относительно невозможности своевременного исполнения работ по вине заказчика были предметом исследования судов и получили исчерпывающую правовую оценку, не согласиться с которой оснований не имеется. Иные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