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14.11.2019 оспариваемое постановление признано незаконным и изменено в части 2 назначенного наказания, размер административного штрафа снижен до 14 360 496,71 рублей. Постановлением Девятнадцатого арбитражного апелляционного суда от 05.03.2020 решение суда первой инстанции изменено, размер административного штрафа снижен до 4 667 161,44 рубля, в остальном решение суда первой инстанции оставлено без изменения. Постановлением Арбитражного суда Центрального округа от 27.07.2020 постановление суда апелляционной инстанции оставлено без изменения. Антимонопольный орган обратился в Верховный Суд Российской Федерации с кассационной жалобой на постановления судов апелляционной и кассационной инстанций, считая их принятыми с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решением антимонопольного органа установлен факт заключения обществом недопустимого в соответствии с антимонопольным законодательством Российской Федерации соглашения.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1 статьи 14.32 Кодекса Российской Федерации об административных правонарушениях. Изменяя решение суда первой инстанции, суд апелляционной инстанции руководствовался положениями Федерального закона от 26.07.2006 № 135-ФЗ «О защите конкуренции», Кодекса Российской Федерации об административных правонарушениях, и исходил из того, что суд первой инстанции определил размер штрафа без учета имеющихся в деле доказательств, признав, что размер выручки правонарушителя от реализации 3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Суд округа согласился с выводами суда апелляционной инстанции.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Поскольку судом первой инстанции надлежащим образом не проверен размер выручки от реализации всех видов товаров (услуг) за 2014 год, судом апелляционной инстанции исправлены допущенные судом первой инстанции нарушения. Несогласия с определенным судом апелляционной инстанции размером выручки доводов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