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04.02.2020, оставленным без изменения постановлением Первого арбитражного апелляционного суда от 05.06.2020, оспариваемое постановление изменено в 2 части назначенного наказания, размер назначенного обществу административного штрафа снижен до 125 000 рублей. Постановлением Арбитражного суда Волго-Вятского округа от 12.08.2020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Исходя из доводов жалобы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деятельности по управлению многоквартирными домами с нарушением лицензионных требований. Частью 2 статьи 4.1.3 Кодекса Российской Федерации об административных правонарушениях установлена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Правил содержания общего имущества в многоквартирном доме, утвержденными постановлением Правительства Российской Федерации от 13.08.2006 № 491, Правил и норм технической эксплуатации жилищного фонда, утвержденных постановлением Госстроя РФ от 27.09.2003 № 170, суды пришли к выводу о наличии в действиях общества состава вменяемого административного правонарушения, признав, что общество является лицом, ответственным за содержание общего имущества многоквартирных домов и обязано было принять меры, направленные на соблюдение требований законодательства и 3 обеспечить возможность накопления твердых коммунальных отходов в соответствии с установленными нормативами.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