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потребительский кооператив взаимообеспечения «Симбирский дворик» на основании договоров цессии обратился в Арбитражный суд города Москвы с иском о взыскании с общества с ограниченной ответственностью «Рокор» 14 784 490 рублей задолженности по договорам поставки от 01.11.2017 № 17/11/03 и от 05.01.2016 № 16/01/05.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Дармодехин Дмитрий Александрович. Решением Арбитражного суда города Москвы от 26.12.2019 иск удовлетворен. Постановлением Девятого арбитражного апелляционного суда от 19.06.2020 решение суда первой инстанции оставлено без изменения. Постановлением Арбитражного суда Московского округа от 09.09.2020 указанные судебные акты оставлены без изменения. 2 Общество с ограниченной ответственностью «Рокор»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66, 71 Арбитражного процессуального кодекса Российской Федерации, признав доказанным факт поставки товара, установив ненадлежащее исполнение ответчиком принятых на себя обязательств по его оплате, отсутствие надлежащих доказательств прекращения обязательства по оплате зачетом встречного однородного требования, руководствуясь положениями статей 309, 310, 486, 506, 516 Гражданского кодекса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 о фальсификации доказательств, о проведении почерковедческой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«Рокор»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