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виде наложения ареста на движимое и недвижимое имущество (в том числе имущественные права) согласно представленному перечню с запретом соответствующим органам производить в отношении него регистрационные действия. Определением Арбитражного суда Ростовской области от 19.05.2020, оставленным без изменения постановлениями Пятнадцатого арбитражного апелляционного суда от 15.07.2020 и Арбитражного суда Северо-Кавказского округа от 17.09.2020,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 первой и апелляционной инстанции руководствовались статьями 90, 91, 92 Арбитражного процессуального кодекса Российской Федерации, учли разъяснения, приведённые в постановлении Пленума Высшего Арбитражного Суда Российской Федерации от 12.10.2006 № 55 «О применении арбитражными судами обеспечительных мер», применительно к фактическим обстоятельствам и необходимости обеспечения баланса интересов вовлеченных в банкротство должника лиц исходили из того, что на момент обращения с ним заявителем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«Новочеркасский завод сварочных электродов» Ежову Дмитрию Викторовичу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