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«Уральский механический завод» (покупатель) обратилось в Арбитражный суд Челябинской области с иском, уточненным в порядке статьи 49 Арбитражного процессуального кодекса Российской Федерации, об обязании общества с ограниченной ответственностью «ТДК» (поставщика) передать товар по договору поставки от 12.03.2015 № 17/15, а в случае невозможности передачи – возместить его стоимость в размере 12 263 952 рублей 87 копеек. Решением Арбитражного суда Челябинской области от 30.12.2019 в удовлетворении иска отказано. Постановлением Восемнадцатого арбитражного апелляционного суда от 03.07.2020 решение суда первой инстанции отменено и иск удовлетворен – на ответчика возложена обязанность передать истцу товар. Арбитражный суд Уральского округа постановлением от 14.09.2020 постановление суда апелляционной инстанции оставил без изменения. 2 Общество с ограниченной ответственностью «ТДК» обратилось в Судебную коллегию Верховного Суда Российской Федерации с кассационной жалобой и дополнением к ней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в соответствии с положениями статей 16, 69 Арбитражного процессуального кодекса Российской Федерации обстоятельства, установленные вступившим в законную силу решением Арбитражного суда Челябинской области от 27.06.2018 по делу № А76-12849/2017, руководствуясь положениями пункта 4 статьи 453 Гражданского кодекса Российской Федерации, пунктами 4, 5 постановления Пленума Высшего Арбитражного Суда Российской Федерации от 06.06.2014 № 35 «О последствиях расторжения договора», апелляционный суд пришел к выводу о нарушении эквивалентности встречных предоставлений сторон расторгнутого договора и неосновательном обогащении поставщика, что явилось основанием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о прекращении обязательств поставщика с момента расторжения спорного договора,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