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пунктом 4 части 1 статьи 291.5 Арбитражного процессуального кодекса Российской Федерации кассационная жалоба возвращается без рассмотрения по существу, если поступило ходатайство о возвращении или об отзыве кассационной жалобы. Такое ходатайство заявителем представлено 16.11.2020 до рассмотрения ранее поданной им кассационной жалобы. В силу статей 9 и 41 Арбитражного процессуального кодекса Российской Федерации участвующие в деле лица самостоятельно распоряжаются своими процессуальными правами. Оснований для ограничения права общества на отказ от своей кассационной жалобы не установлено, в связи с чем ходатайство об отзыве жалобы подлежит удовлетворению, а данная жалоба – возвращению без рассмотрения по существу. 2 Руководствуясь статьями 184, 185, пунктом 4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«Реновация-Н+» удовлетворить. Возвратить обществу с ограниченной ответственностью «Реновация-Н+» кассационную жалобу на определение Арбитражного суда города Москвы от 08.06.2020, постановление Девятого арбитражного апелляционного суда от 20.08.2020 и постановление Арбитражного суда Московского округа от 19.10.2020 по делу № А40-272086/2018 области без рассмотрения по существу.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