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«Инвестторг» (далее – кредитор) обратилось в суд с заявлением о включении в реестр требований кредиторов должника требования в размере 1 894 418 рублей 39 копеек основного долга и 106 363 рублей процентов за пользование чужими денежными средствами. Определением Арбитражного суда Республики Татарстан от 10.02.2020, оставленным без изменения постановлениями Одиннадцатого арбитражного апелляционного суда от 11.06.2020 и Арбитражного суда Поволжского округа от 08.09.2020, заявление удовлетворено в части признания обоснованным и включения в третью очередь реестра требования кредитора в размере 1 894 418 рублей 39 копеек долга и 93 994 рублей 03 копеек процентов за пользование чужими денежными средствами. В удовлетворении остальной части требования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доказанности факта перечисления кредитором денежных средств должнику в отсутствие какого-либо встречного предоставления либо зачёта взаимных обязательств сторон, в связи с чем, признал частично обоснованным заявленное требование с учётом необходимости перерасчёта суммы процентов за пользование чужими денежными средствами.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представителю участников общества с ограниченной ответственностью «Скорпион – Финанс» Сагетдинову Фирузу Фарвазовичу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