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«Стелс» (далее – должник) его конкурсный кредитор – общество с ограниченной ответственностью «Сименс Трансформаторы» обратилось в Арбитражный суд Воронежской области с жалобой на действия конкурсного управляющего должником ФИО2 и с требованием об отстранении его от исполнения соответствующих обязанностей. Определением суда первой инстанции от 26.02.2019, оставленным без изменения постановлениями судов апелляционной инстанции от 13.06.2019 и округа от 27.08.2019, признаны незаконными действия конкурсного управляющего должником ФИО2, выразившиеся в предоставлении оценщику имущества должника недостоверных сведений о подлежащем оценке имуществе; в удовлетворении требований в остальной части отказано. В кассационной жалобе, поданной в Верховный Суд Российской Федерации, арбитражный управляющий ФИО2 просит отменить принятые по обособленному спору судебные акты в связи с нарушением и неправильным применением судами норм права.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Частично удовлетворяя жалобу, суды первой и апелляционной инстанций, с выводами которых согласился суд округа, исходили из того, что оспариваемые действия конкурсного управляющего должником ФИО2 не отвечают критериям добросовестности и разумности поведения управляющего и нарушают права и законные интересы кредиторов. Изложенные в жалобе доводы были предметом рассмотрения судов, не свидетельствуют о неправильном применении ими норм права, сводятся к переоценке доказательств и установлению иных обстоятельств по обособленному спору,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НП "Первая СРО АУ" (подробнее) ООО "Воронежский нефтепродукт" (подробнее) ООО "КТК-ЯРОСЛАВЛЬ" (подробнее) ООО "Сименс Трансформаторы" (подробнее) ООО "СмартВес" (подробнее) ООО ТД "Стелс" (подробнее) ООО ЧОО "Интраст" (подробнее) ООО "Юпитер-С" (подробнее) Ответчики: ООО "Стелс" (подробнее) Иные лица: к/у Шитиков Д.А. (подробнее) МИФНС России №1 по ВО (подробнее) МСО ПАУ - Ассоциация "Межрегиональная саморегулируемая организация профессиональных арбитражный управляющих" (подробнее) НП "ЦФОП АПК" (подробнее) УФНС по ВО (подробнее) ФНС России (подробнее) Судьи дела: Капкаев Д.В. (судья) (подробнее) Последние документы по делу: Определение от 26 ноября 2020 г. по делу № А14-18952/2016 Определение от 2 декабря 2019 г. по делу № А14-18952/2016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