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Атрошенко А.В. обратился в суд с заявлением о признании должника несостоятельным (банкротом), принятым к производству определением Арбитражного суда города Москвы от 09.12.2019. Определением Арбитражного суда города Москвы от 30.01.2020, оставленным без изменения постановлениями Девятого арбитражного апелляционного суда от 23.06.2020 и Арбитражного суда Московского округа от 11.09.2020, во введении наблюдения в отношении должника отказано; производство по делу о несостоятельности (банкротстве) прекращено.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должника несостоятельным (банкротом).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2 Отказывая во введении наблюдения в отношении должника и прекращая производство по делу, суды руководствовались положениями статей 4, 6, 7, 33, 48 Федерального закона от 26.10.2002 № 127-ФЗ «О несостоятельности (банкротстве)» и исходили из того, что непогашенная должником сумма неустойки и мер ответственности не подлежит учёту для определения признаков его неплатёжеспособности, оставшиеся требования в части основного долга погашены третьим лицом без злоупотребления правом, а заявлений иных кредиторов о признании должника банкротом не имелось.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Атрошенко Виктору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