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признании недействительным договора купли-продажи доли от 30.07.2019, заключенного по итогам торгов с обществом с ограниченной ответственностью «Автоагрегат»; обязать конкурсного управляющего должником подать в ФНС России заявление о внесении в ЕГРЮЛ в отношении общества с ограниченной ответственностью «ПромРесурс Плюс» (далее – компания) соответствующих изменений в связи с признанием недействительным договора купли-продажи доли от 30.07.2019, заключенного по итогам торгов с обществом «Автоагрегат»; обязании конкурсного управляющего должником заключить с заявителем договор купли-продажи доли. Определением Арбитражного суда Смоленской области от 17.12.2019, оставленным без изменения постановлениями Двадцатого арбитражного апелляционного суда от 04.03.2020 и Арбитражного суда Центрального округа от 10.08.2020, в удовлетворении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165, 449 Гражданского кодекса Российской Федерации, статьями 61.8, 126 Федерального закона от 26.10.2002 № 127-ФЗ «О несостоятельности (банкротстве)», пунктом 18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установили, что одним из участников компании реализовано преимущественное право покупки принадлежащей должнику доли участия в ней, в связи с чем пришли к выводу о правомерности заключения конкурсным управляющим должником оспариваемого договора купли-продажи.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«Содержание Плюс»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