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25.09.2019, оставленным без изменения постановлением Девятого арбитражного апелляционного суда от 25.02.2020, в удовлетворении иска отказано. Арбитражный суд Московского округа постановлением от 03.08.2020 решение от 25.09.2019 и постановление Девятого арбитражного апелляционного суда от 25.02.2020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обязанность по выплате страхового возмещения у общества «Страховая компания «Арсеналъ» возникла из контракта от 12.09.2016 № 31/29 ГК и в силу применимой к страховому случаю редакции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 исполнительной системы, сотрудников войск национальной гвардии Российской Федерации». Учитывая установленные обстоятельства, правовых оснований для переложения спорной суммы на ответчика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