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02.10.2019, оставленным без изменения постановлением Девятого арбитражного апелляционного суда от 10.02.2020, исковые требования удовлетворены в части взыскания 3 062 587 рублей 65 копеек задолженности по банковской гарантии и 290 292 рублей неустойки. Арбитражный суд Московского округа постановлением от 24.07.2020 решение от 02.10.2019 и постановление Девятого арбитражного апелляционного суда от 10.02.2020 оставил без изменения. В кассационной жалобе банк просит об отмене судебных актов, ссылаясь на несоответствие условиям гарантии предъявленного требования и злоупотребление истцом правом при его предъявлении.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Указание в спорном требовании о платеже на наступление согласованного условия для его совершения, аналогичного указанному в ранее предъявленном требовании на меньшую сумму, не означает отсутствия ссылки на нарушенное обязательство и не дает права на отказ в совершении платежа на полную сумму гарантии при наличии к тому соответствующего основания. Возражение банка о допущенном учреждением злоупотреблении правом неосновательно исходя из установленного судами основания предъявления требования о платеже.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«Акционерный коммерческий банк «Абсолют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ГБУ МО "Мосавтодор" (подробнее) Ответчики: ПАО Акционерный коммерческий банк "Абсолют Банк"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