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13.12.2019, оставленным без изменения постановлением Седьмого арбитражного апелляционного суда от 18.03.2020 и постановлением Арбитражного суда Западно-Сибирского округа от 23.07.2020, иск удовлетворен. В кассационной жалобе компания просит отменить судебные акты, ссылаясь на прекращение всех обязательств соглашением о расторжении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применили ответственность в связи с ненадлежащим исполнением договора за период до его расторжения, поэтому отклонили довод заявителя о прекращении обязательств соглашением о расторжении договора. Изложенное в жалобе видение последствий расторжения договора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«Компания фабрика Люкс»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"Озеро" (подробнее) Ответчики: ООО "КОМПАНИЯ ФАБРИКА ЛЮКС" (подробнее) Иные лица: Арбитражный суд Западно-Сибирского округа (подробнее) Седьмой арбитражный апелляционный суд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