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20.12.2019, оставленным без изменения постановлением Первого арбитражного апелляционного суда от 20.03.2020, иск удовлетворен. Арбитражный суд Волго-Вятского округа постановлением от 23.07.2020 решение от 20.12.2019 и постановление Первого арбитражного апелляционного суда от 20.03.2020 оставил без изменения. В кассационной жалобе предприятие просит об отмене судебных актов в отношении размера процентов за пользование чужими денежными средствами, ссылаясь на необходимость взыскания их в размере договорной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условиях существования законной и договорной ответственности за нарушение денежного обязательства суды правомерно применили выбранную истцом. Установленные судами обстоятельства возникновения ответственности не пересматриваются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«Совместное предприятие Прибой»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Ларн-Проект (подробнее) Ответчики: ООО Совместное предприятие Прибой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