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Еврейской автономной области от 25.02.2020, оставленным без изменения постановлением Шестого 2 арбитражного апелляционного суда от 20.05.2020, в удовлетворении требования отказано. Постановлением Арбитражного суда Дальневосточного округа от 19.08.2020 указанные судебные акта оставлены без изменения. Общество в кассационной жалобе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выполнении обществом лицензионных требований при управлении многоквартирным домом.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пункты 3.3.1, 4.6.1.1, 4.6.1.2 Правил и норм технической эксплуатации жилищного фонда, утвержденных Постановлением Правительства Российской Федерации от 27.09.2003 № 170, суды пришли к выводу о наличии в действиях общества состава правонарушения, ответственность за совершение которого 3 предусмотрена частью 2 статьи 14.1.3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не выявлено. Доводы жалобы были предметом исследования судов и получили исчерпывающую правовую оценку исходя из установленных обстоятельств, связанных с непринятием обществом надлежащих мер по устранению нарушений содержания имущества многоквартирного дома. Оснований для иных выводов, исходя из доводов жалобы, не имеется.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