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Усмань</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310-ЭС20-18048 ОПРЕДЕЛЕНИ Е г. Москва 24.11.2020 Судья Верховного Суда Российской Федерации Першутов А.Г., изучив кассационную жалобу городского поселения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28.02.2020, оставленным без изменения постановлением Девятнадцатого арбитражного апелляционного суда от 26.05.2020, иск удовлетворен. Постановлением Арбитражного суда Центрального округа от 30.07.2020 указанные судебные акты оставлены без изменения. Ответчик обратился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установив, что спорные работы в рамках заключенного муниципального контракта выполнены, документально подтверждены, выполнены качественно и имеют потребительскую ценность для заказчика.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