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13.11.2020 направил в Верховный Суд Российской Федерации кассационную жалобу и одновременно заявил ходатайство о восстановлении пропущенного срока.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Рассмотрев ходатайство о восстановлении срока, судья Верховного Суда Российской Федерации не находит оснований для его удовлетворения. В качестве причины пропуска срока указано ошибочное направление повторной кассационной жалобы не в адрес Верховного Суда Российской Федерации, а в адрес ответчика. Между тем, указанные обстоятельства не являются причинами, не зависящими от лица, обратившегося с жалобой. Ненадлежащая подача первоначальной кассационной жалобы, последующий возврат жалобы, направление повторной жалобы в адрес иного лица, и ее подача 13.11.2020 - по истечение срока на подачу кассационной жалобы не свидетельствует об уважительности причины пропуска срока подачи жалобы и не может продлевать процессуальный срок подачи кассационной жалобы в Судебную коллегию Верховного Суда Российской Федерации.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Государственного природоохранного бюджетного учреждения города Москвы «Московское городское управление природными территориями» о восстановлении пропущенного срока отказать, кассационную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