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Петрушкин Михаил Владимирович обратился в суд с заявлением о признании недействительными сделками трёх операции от 17.11.2017 и от 21.11.2017 по перечислению должником 1 079 503 рублей 80 копеек в пользу акционерного общества «ВЭБ-Лизинг» (далее – лизингодатель); применении последствий недействительности сделок в виде взыскания с лизингодателя полученных денежных средств в конкурсную массу должника. Определением Арбитражного суда города Москвы от 16.03.2020, оставленным без изменения постановлениями Девятого арбитражного апелляционного суда от 09.07.2020 и Арбитражного суда Московского округа от 16.09.2020,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61.1, 61.3, 61.4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указали на недоказанность конкурсным управляющим совокупности условий для признания недействительными оспариваемых сделок, совершенных в пределах обычной хозяйственной деятельности в период регулярного и систематического внесения должником лизинговых платежей лизингодателю с незначительными задержками и с целью выкупа предмета лизинга, не повлекших уменьшения имущественной массы должника и оказания лизингодателю предпочтения.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«Заполярпромгражданстрой»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