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работников должника Фролова Наталья Николаевна обратилась в суд с заявлением об установлении размера оплаты услуг и очерёдности удовлетворения требования по оплате услуг представителя работников должника. Определением Арбитражного суда Астраханской области от 22.01.2020, оставленным без изменения постановлениями Двенадцатого арбитражного апелляционного суда от 06.03.2020 и Арбитражного суда Поволжского округа от 29.07.2020, представителю работников должника Фроловой Н.Н. утверждено вознаграждение в размере 12 130 рублей ежемесячно за счёт имущества должника.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вознаграждение представителю работников должника в размере минимальной оплаты труда, суд первой инстанции руководствовался пунктами 10 и 11 статьи 12.1 Федерального закона от 26.10.2002 № 127-ФЗ «О несостоятельности (банкротстве)», исходили из того, что оно определено протоколом собрания работников, бывших работников должника от 17.05.2019, которое в установленном законом порядке не оспорено; его размер является разумным, а возможность выплаты вознаграждения имеется. С указанными выводами впоследствии согласились суды апелляционной инстанции и округа, отметив, что несмотря на небольшое количество работников (восемь человек) их представителю необходимо выполнять определённые мероприятия, осуществлять взаимодействие с работниками должника и его конкурсным управляющим.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Зунд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