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обратилась в суд с заявлением об исключении из конкурсной массы жилого дома, состоящего из 2 этажей, площадью 512, 2 кв.м., кадастровый номер 55:20:110101:4581 и земельного участка, площадью 1900 кв.м., кадастровый номер 55:20:110101:94, расположенных по адресу: Омская обл., Омский район, п. Магистральный, ул. Луговая, 3. Определением Арбитражного суда Омской области от 26.11.2019, оставленным без изменения постановлениями Восьмого арбитражного апелляционного суда от 11.02.2020 и Арбитражного суда Западно-Сибирского округа от 01.06.2020,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Омской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Исключая имущество должника из конкурсной массы, суд первой инстанции, руководствуясь статьёй 446 Гражданского процессуального кодекса Российской Федерации, статьями 131, 213.25 Федерального закона от 26.10.2002 № 127-ФЗ «О несостоятельности (банкротстве) (далее – Закон о банкротстве), пунктом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массе в делах о банкротстве граждан», исходил из того, что жилой дом с расположенным под ним земельным участком является единственным пригодным для постоянного проживания должника и членов её семьи, не является чрезмерным для разумного удовлетворения потребности в жилье и обладает исполнительским иммунитетом. С указанными выводами впоследствии согласились суды апелляционной инстанции и округа, указав, что недобросовестное поведение должника по оформлению мнимой сделки в предбанкротный период может являться основанием для не освобождения её от дальнейшего исполнения обязательств перед кредиторами (пункт 4 статьи 213.28 Закона о банкротстве).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Дубровиной Светлане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