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Орловской области от 24.03.2020, постановление Девятнадцатого арбитражного апелляционного суда от 05.06.2020 и постановление Арбитражного суда Центрального округа от 02.09.2020 по делу № А48-5591/2017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