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акционерное общество «ИнтернетПроекты» (далее – общество) обратилось в суд с заявлением о включении его требований в размере 2 196 720 рублей долга по договору оказания услуг от 25.05.2015 № MVV0401130215/TSC15-219-S и 5 416 рублей 57 копеек процентов за пользование чужими денежными средствами в реестр требований кредиторов должника. Определением Арбитражного суда города Москвы от 12.02.2020, оставленным без изменения постановлениями Девятого арбитражного апелляционного суда от 17.06.2020 и Арбитражного суда Московского округа от 20.08.2020, требования общества признаны обоснованными и включены в третью очередь реестра. В кассационной жалобе, поданной в Верховный Суд Российской Федерации, заявитель просит отменить указанные судебные акты, направить обособленный спор на новое рассмотрение в Арбитражный суд города Москвы.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2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положениями статьи 779 Гражданского кодекса Российской Федерации, статей 71 и 100 Федерального закона от 26.10.2002 № 127-ФЗ «О несостоятельности (банкротстве)», установив реальность отношений, послуживших основанием для обращения общества с заявленными требованиями, пришли к выводу об их обоснованности и подтверждённости, что послужило основанием для включения требований в реестр требований кредиторов должника, указав на отсутствие доказательств погашения задолженности должником. Выводы судов соответствуют нормам права, оснований для переоценки выводов судов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«Техносерв Консалтинг»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