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10.11.2020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Рассмотрев ходатайство о восстановлении срока, судья Верховного Суда Российской Федерации не находит оснований для его удовлетворения, поскольку обжалование решения суда общей юрисдикции, которым установлены обстоятельства осуществления обществом деятельности по перевозке, само по себе не свидетельствует о невозможности обращения с кассационной жалобой по настоящему делу в установленный срок. Заявитель являлся инициатором иска и подачи кассационной жалобы в суд округа, судебные акты своевременно опубликованы в общедоступной базе «Картотека арбитражных дел». При той степени заботливости и разумной осмотрительности, какая требовалась от заявителя как от добросовестного участника процесса, он имел возможность ознакомиться с содержанием судебных актов и достаточный промежуток времени для своевременного принятия решения по вопросу обжалования, подготовки и подачи кассационной жалобы в предусмотренный законодательством срок. При этом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 учетом положения части 6 статьи 291.3 Арбитражного процессуального кодекса Российской Федерации документы, прилагаемые к кассационной жалобе, могут быть представлены в Судебную коллегию Верховного Суда Российской Федерации в электронном виде, в связи с чем правило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Заявитель не доказал принятие достаточных мер в целях недопущения пропуска процессуального срока обжалования судебных актов. Кадровые и иные внутренние организационные трудности не могут рассматриваться в качестве объективных и не зависящих от заявителя причин, 3 препятствующих ему подать кассационную жалобу в установленный законом срок.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«Диммаш»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