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23.10.2019, оставленным без изменения постановлением Девятого арбитражного апелляционного суда от 06.02.2020, в удовлетворении иска отказано. Арбитражный суд Московского округа постановлением от 20.07.2020 решение от 23.10.2019 и постановление Девятого арбитражного апелляционного суда от 06.02.2020 оставил без изменения. В кассационной жалобе фонд просит об отмене судебных актов, ссылаясь на нарушение норм материального и процессуального права.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кассационной жалобы не усматривается. Суды установили правомочия ответчиков на заключение оспариваемых сделок и отсутствие у фонда охраняемого законом интереса в устранении юридических последствий сделок, поэтому отказали в иске в соответствии со статьями 166 - 168 Гражданского кодекса Российской Федерации. Иная оценка заявителем последствий правоотношений участников оспариваемых договоров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автономной некоммерческой организации «Фонд защиты вкладчиков»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