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23.12.2019 иск удовлетворен. Девятый арбитражный апелляционный суд постановлением от 18.03.2020 отменил решение от 23.12.2019 и отказал в удовлетворении иска, сославшись на допущенное бенефициаром (ответчиком) злоупотребление правом при предъявлении требования по гарантии. Арбитражный суд Московского округа постановлением от 31.08.2020 отменил постановление Девятого арбитражного апелляционного суда от 18.03.2020 и оставил в силе решение от 23.12.2019. В кассационной жалобе банк просит об отмене судебных актов, ссылаясь на лишение законного права на возмещение убытков за счет бенефициара.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пункта 1 статьи 370 Гражданского кодекса Российской Федерации предусмотренное независимой гарантией обязательство гаранта перед бенефициаром не зависит в отношениях между ними от основного обязательства, в обеспечение исполнения которого она выдана, от отношений между принципалом и гарантом, а также от каких-либо других обязательств, даже если в независимой гарантии содержатся ссылки на них. Заявленные в рамках рассматриваемого спора требования основаны на банковской гарантии от 18.12.2017 № 1997/БГ, юридическая сила которой подтверждена в судебном порядке и выплата по которой произведена в соответствии с ее условиями.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«Банк БКФ»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