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Москвы от 27.11.2019, оставленным без изменения постановлением Девятого арбитражного апелляционного суда от 12.02.2020, в удовлетворении иска отказано. Арбитражный суд Московского округа постановлением от 31.07.2020 решение от 27.11.2019 и постановление Девятого арбитражного апелляционного суда от 12.02.2020 оставил без изменения. В кассационной жалобе банк просит об отмене судебных актов, ссылаясь на неправомерное лишение права на возмещение убытков в размере не причитающейся министерству суммы.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Спорная сумма не может считаться полученной министерством необоснованно и быть возвращена в силу статьи 375.1 Гражданского кодекса Российской Федерации, поскольку получена на основании судебного акта по делу № А40-120363/2017. Суды установили, что право на возврат выплаченной по гарантии суммы банк реализовал посредством предъявления регрессного требования к принципалу. При избрании такого порядка реализации правоотношений спор о необоснованно полученной сумме возможет только между сторонами по государственному контракту.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публичного акционерного общества «Совкомбанк»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