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Викторова Е.Ю. обратилась в суд с заявлением о наложении штрафа за неисполнение судебного акта должностным лицом Федеральной службой судебных приставов Российской Федерации. Определением Арбитражного суда города Москвы от 08.07.2020 оставленным без изменения постановлениями Девятого Арбитражного апелляционного суда от 12.08.2020 и Арбитражного суда Московского округа от 18.09.2020, заявление возвращено. В кассационных жалобах, поданных в Верховный Суд Российской Федерации, заявители просят отменить указанные судебные акты, направить обособленный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Возвращая заявление, суд первой инстанции исходил из того, что судебный пристав-исполнитель ОСП по Юго-Восточному АО г. Москвы ФССП России в рассматриваемом случае не является стороной в исполнительном производстве и, как следствие, не является субъектом ответственности в соответствии со статьёй 332 Арбитражного процессуального кодекса Российской Федерации.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по доводам жалоб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Захаренкову Дмитрию Николаевичу и финансовому управляющему имуществом Ферда Григория Львовича Викторовой Елене Юрьевне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