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30.10.2019 в удовлетворении иска отказано. Девятый арбитражный апелляционный суд постановлением от 27.01.2020 отменил решение от 30.10.2019 и удовлетворил иск в заявленном размере. Арбитражный суд Московского округа постановлением от 29.07.2020 постановление Девятого арбитражного апелляционного суда от 27.01.2020 оставил без изменения. В кассационной жалобе общество «Стойгазмонтаж» просит об отмене судебных актов апелляционного и окружного судов, ссылаясь на отсутствие оснований для отмены решения суда первой инстанции, установившего обстоятельства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 суда первой инстанции отсутствовали основания для признания в качестве злоупотребления со стороны истца реализованное им законное право на компенсацию возмещенных потерпевшему убытков, в причинении которых виновен ответчик (статьи 965, 15, 1064 Гражданского кодекса Российской Федерации). Суд апелляционной инстанции, повторно рассмотревший дело, взыскал убытки в размере подтвержденной стоимости восстановительного ремонта поврежденного транспортного средства.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«Стройгазмонтаж»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