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«Мегаснаб-Сервис» обратилось в суд с заявлением о включении в реестр требований кредиторов должника 20 000 001 рублей. Определением Арбитражного суда города Санкт-Петербурга и Ленинградской области от 20.03.2015 отказано во включении указанных требования в реестр требований кредиторов должника. Парамонов Е.В. обратился в Тринадцатый арбитражный апелляционный суд с апелляционной жалобой на определение от 20.03.2015, заявив ходатайство о восстановлении пропущенного срока для её подачи. Определением Тринадцатого арбитражного апелляционного суда от 15.06.2020, оставленным без изменения постановлением Арбитражного суда Северо-Западного округа от 19.08.2020, апелляционная жалоба возвращена заявителю. В кассационной жалобе, поданной в Верховный Суд Российской Федерации, заявитель просит отменить указанные определение суда апелляционной инстанции и постановление суда округа, изменить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апелляционную жалобу, апелляционный суд, руководствуясь положениями статей 117, 259 и 264 Арбитражного процессуального кодекса Российской Федерации, исходил из пропуска заявителем процессуального срока на её подачу и отсутствия уважительных причин для его восстановления. Проверяя обоснованность возврата жалобы заявителя, окружной суд не установил нарушений норм процессуального права и согласился с указанными выводами.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Кроме того, в просительной части кассационной жалобы заявитель просит изменить определение Арбитражного суда города Санкт-Петербурга и Ленинградской области от 20.03.2015 по настоящему делу.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как поданная на судебный акт, который не был предметом апелляционного и кассационного обжалования.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Тринадцатого арбитражного апелляционного суда от 15.06.2020 и постановления Арбитражного суда Северо-Западного округа 3 от 19.08.2020 по делу № А56-71414/2013 Арбитражного суда города Санкт-Петербурга и Ленинградской области. Производство по кассационной жалобе Парамонова Евгения Викторовича в части обжалования определения Арбитражного суда города Санкт-Петербурга и Ленинградской области от 20.03.2015 по делу № А56-71414/2013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