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16.12.2019 взыскано 30 459 268 рублей 88 копеек. Постановлением Девятого арбитражного апелляционного суда от 17.03.2020, оставленным без изменения постановлением Арбитражного суда Московского округа от 22.07.2020, решение изменено: взыскано 30 481 080 рублей 46 копеек. В кассационной жалобе общество «Российские железные дороги» просит о пересмотре судебных актов, ссылаясь на отсутствие неосновательного обогащения в связи с приобретением деталей по сделкам у третьих лиц.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третьих лиц права на отчуждение принадлежащих истцу деталей грузовых вагонов, поэтому обязали ответчика возместить их стоимость в силу статьи 1103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