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27.01.2020, оставленным без изменения постановлениями Шестого арбитражного апелляционного суда от 06.05.2020 и Арбитражного суда Дальневосточного округа от 27.07.2020, исковое заявление управления удовлетворено, встречное исковое заявление общества удовлетворено частично. В результате зачета встречных однородных требований с общества в пользу управления взыскана задолженность в сумме 201 574 рублей 55 копеек. 2 В кассационной жалобе, поданной в Верховный Суд Российской Федерации, общество, ссылаясь на существенное нарушение судами норм права, просит удовлетворить встречное исковое заявление в полном объеме или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управлением (заказчик) и обществом (поставщик) заключены муниципальные контракты на поставку продуктов питания на 2016 год. Управлением установлена переплата за поставленный товар в размере 194 518 рублей 97 копеек, что послужило основанием для направления в адрес общества претензии о возврате излишне уплаченных денежных средств. В связи с неисполнением претензии управление обратилось в арбитражный суд. Одновременно обществом установлена неполная оплата управлением поставленного товара в рамках заключенных контрактов, что явилось основанием для обращения общества к истцу с претензией, а в последующем со встречным исковым заявлением в рамках настоящего дела о взыскании суммы основного долга и неустойки. Оценив представленные в материалы дела доказательства, суды, руководствуясь положениями статей 309, 310, 488, 395, 506, 515, 516, 525, 1102 Гражданского кодекса Российской Федерации, пришли к выводу о наличии оснований для удовлетворения требования управления в полном объеме и частичного удовлетворения требования общества. Судебные инстанции исходили из доказанности переплаты за поставленный товар по контрактам и отсутствия возврата излишне уплаченных денежных средств. Удовлетворяя частично встречные исковые требования общества, суды указали, что задолженность по муниципальным контрактам № 14-16 от 04.06.2016 и № 13-16 от 06.06.2016 в размере 15 483 рублей 89 копеек подтверждается материалами дела и управлением не оспорена. Установив факт наличия у управления задолженности в указанном размере, суды взыскали с 3 управления неустойку в размере 11 337 рублей 08 копеек за период с 01.08.2016 по 26.11.2019. Доводы общества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Приведенные доводы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