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Новороссийск</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№308-ЭС20-21035 ОПРЕДЕЛЕНИ Е г. Москва 23.11.2020 Судья Верховного Суда Российской Федерации Першутов А.Г., рассмотрев ходатайство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13.11.2020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Рассмотрев ходатайство о восстановлении срока, судья Верховного Суда Российской Федерации не находит оснований для его удовлетворения, поскольку рассмотрение судом первой инстанции заявлений по настоящему делу, в том числе об отсрочке исполнения решения, о разъяснении судебного акта, само по себе не свидетельствует о невозможности обращения с кассационной жалобой по настоящему делу в установленный срок. Заявитель являлся инициатором иска и подачи кассационной жалобы в суд округа, судебные акты своевременно опубликованы в общедоступной базе «Картотека арбитражных дел». При той степени заботливости и разумной осмотрительности, какая требовалась от заявителя как от добросовестного участника процесса, он имел возможность ознакомиться с содержанием судебных актов и достаточный промежуток времени для своевременного принятия решения по вопросу обжалования, подготовки и подачи кассационной жалобы в предусмотренный законодательством срок. Заявитель не доказал принятие достаточных мер в целях недопущения пропуска процессуального срока обжалования судебных актов.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администрации муниципального образования город Новороссийск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