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17.02.2020, оставленным без изменения постановлением Двадцатого арбитражного апелляционного суда от 04.06.2020 и постановлением Арбитражного суда Центрального округа от 11.08.2020, заявление общества о взыскании с предпринимателя 117 408 рублей судебных расходов удовлетворено на сумму в 86 064 рублей. В кассационной жалобе предприниматель просит о пересмотре судебных актов, ссылаясь на ненадлежащие доказательства несения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доказательств находится в компетенции суда первой инстанции.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Пушкину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