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25.09.2019, оставленным без изменения постановлением Девятого арбитражного апелляционного суда от 10.02.2020, в удовлетворении иска отказано. Арбитражный суд Московского округа постановлением от 27.07.2020 решение от 25.09.2019 и постановление Девятого арбитражного апелляционного суда от 10.02.2020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обязательство по выплате страхового возмещения возникло у общества «Страховая компания «Арсеналъ» в силу контракта от 12.09.2016 № 31/29 ГК и применимой в связи со страховым случаем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 исполнительной системы, сотрудников войск национальной гвардии Российской Федерации». В указанной ситуации правовых оснований для переложения выплаченной суммы на ответчика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