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18.12.2019, оставленным без изменения постановлением Одиннадцатого арбитражного апелляционного суда от 12.03.2020 и постановлением Арбитражного суда Поволжского округа от 20.07.2020, иск удовлетворен. В кассационной жалобе завод просит об отмене судебных актов, ссылаясь на отсутствие условий для взыскания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Порядок определения расходов, подлежащих взысканию с продавца (ответчика) в связи с недопоставкой автокомпонентов, согласован сторонами в договоре от 24.05.2013 № 265386 (приложение 2, 14, 20), в соответствии с которым произведен расчет взыскиваемой суммы. Учитывая определение расходов расчетным путем, их размер не подлежал доказыванию в имевшем место случае недопоставки. Реализация истцом права на применение договорной ответственности не может быть отнесена к недобросовестным действиям.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Автокомпонент»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"Автоваз" (подробнее) Ответчики: ООО "Завод Автокомпонент" (подробнее) Иные лица: Арбитражный суд Нижегородской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