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06.02.2020, оставленным без изменения постановлением Двадцать первого арбитражного апелляционного суда от 28.05.2020, требования удовлетворены. Постановлением Арбитражного суда Центрального округа от 17.08.2020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выявил нарушение обществом, являющимся получателем субсидии, условий ее предоставления. Оценив представленные доказательства, руководствуясь положениями Бюджетного кодекса Российской Федерации, Федерального закона от 29.12.2006 № 264-ФЗ «О развитии сельского хозяйства», Порядка предоставления субсидий на развитие мелиорации земель сельскохозяйственного назначения Республики Крым в рамках реализации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 на 2015-2020 года, утвержденного постановлением Совета министров Республики Крым от 09.02.2017 № 58, Приказ от 14.03.2018 № 204 «Об утверждении ставок субсидий на проведение гидромелиоративных мероприятий, форм документов для получения субсидий на развитие мелиорации земель сельскохозяйственного назначения Республики Крым», суды пришли к выводу о недоказанности административным органом в действиях общества состава правонарушения, ответственность за которое предусмотрена части 2 статьи 15.15.5 Кодекса Российской Федерации об административных правонарушениях, в том числе вины в его совершении. Обжалуя судебные акты в Верховный Суд Российской Федерации, общество приводит доводы, которые являлись предметом рассмотрения судов трех инстанций по настоящему делу и получили надлежащую правовую оценку с учетом установленных обстоятельств, свидетельствующих о том, что недостоверных сведений обществом представлено не было, претензии к условиям предоставления субсидии отсутствовали. Указанные выводы судов в жалобе не опровергнуты. При этом штраф исчислен от всей суммы субсидии, а не от той ее части, по которой есть нарушения. С учетом изложенного приведенные в жалобе доводы не свидетельствуют о существенных нарушениях судом апелляционной инстанции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"ПОБЕДА" (подробнее) Ответчики: Служба финансового надзора Республики Крым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