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09.03.2020, оставленным без изменения постановлением Тринадцатого арбитражного апелляционного суда от 19.05.2020, в удовлетворении требования отказано. Постановлением Арбитражного суда Северо-Западного округа от 22.07.2020 указанные судебные акта оставлены без изменения. Общество в кассационной жалобе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ненадлежащем выполнении обществом лицензионных требований при управлении многоквартирным домом.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 , 162 Жилищного кодекса Российской Федерации, статей 54 и 69 Правил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Российской Федерации от 06.05.2011 № 354,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правонарушениях. Нарушений процедуры проведения проверки и привлечения к административной ответственности не выявлено. Доводы жалобы были предметом исследования судов и получили исчерпывающую правовую оценку исходя из установленных обстоятельств, связанных с определением обществом объема тепловой энергии, представленного на производство горячего водоснабжения. Оснований для иных выводов исходя из доводов жалобы не имеется.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"НЕВСКИЙ СТИЛЬ" (подробнее) Ответчики: Комитет государственного жилищного надзора и контроля Ленинградской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