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города Москвы от 09.11.2018, оставленным без изменения постановлениями Девятого арбитражного апелляционного суда от 08.06.2020 и Арбитражного суда Московского округа от 01.09.2020, должник признан несостоятельным (банкротом), в отношении него открыто конкурсное производство сроком на шесть месяцев, утверждён конкурсный управляющий. В кассационной жалобе, поданной в Верховный Суд Российской Федерации, заявитель просит отменить указанные судебные акты и прекратить производство по делу.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Открывая процедуру конкурсного производства,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3, 52, 53, 73, 75 Федерального закона от 26.10.2002 № 127-ФЗ «О несостоятельности (банкротстве)», исходил из наличия у должника признаков банкротства, непогашенных на протяжении более трёх месяцев и превышающих 300 000 рублей требований кредиторов, невозможности восстановления его платёжеспособности, принятия первым собранием кредиторов соответствующего решения.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«Русская промышленно- финансовая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