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10.02.2020, оставленным без изменения постановлением Шестого арбитражного апелляционного суда от 18.05.2020, иск удовлетворен. Постановлением Арбитражного суда Дальневосточного округа от 14.08.2020 указанные судебные акты оставлены без изменения. 2 Административный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предпринимателем понесены расходы при рассмотрении дела об административном правонарушении, производство по которому прекращено судом ввиду отсутствия состава административного правонарушения. Оценив представленные доказательства, руководствуясь положениями статей 15, 16, 1064 Гражданского кодекса Российской Федерации, с учетом разъяснений пункта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суды удовлетворили иск, установив совокупность условий, необходимой для взыскания убытков. При этом суды признали, что наличие и размер понесенных убытков, причинная связь между неправомерными действиями должностных лиц в части привлечения к ответственности и убытками доказана. Приведенные в жалобе доводы, которые были предметом исследования и оценки судов, не свидетельствуют о наличии оснований для отмены в кассационном порядке оспариваемых судебных актов, поскольку фактически сводятся к несогласию с выводами судов по обстоятельствам дела.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жалобе не содержится. 3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