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Самарской области от 24.12.2019, оставленным без изменений постановлением Одиннадцатого арбитражного апелляционного суда от 12.03.2020, заявленные требования удовлетворены частично: признано недействительным оспариваемое предписание в связи с его неисполнимостью, постановление изменено в части назначенного наказания, 2 штраф снижен до 125 000 рублей, в остальной части в удовлетворении заявленных требований отказано. Постановлением Арбитражного суда Поволжского округа от 21.07.2020 указанные судебные акты отменены в части отказа в признании незаконным постановления, в указанной части дело направлено на новое рассмотрение в суд первой инстанции. Административный орган обратился в Верховный Суд Российской Федерации с кассационной жалобой, в которой просит постановление суда округа отменить, считая его принятым с нарушением норм материального и процессуального права. Изучив изложенные в кассационной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Суд округа отменил судебные акты судов первой и апелляционной инстанций и направил дело на новое рассмотрение, действуя в пределах полномочий, предоставленных ему статьей 287 Арбитражного процессуального кодекса Российской Федерации, по основаниям, предусмотренным статьей 288 названного Кодекса. При этом суд округа указал на необходимость судам исследовать и оценить все представленные в материалы дела доказательства и доводы сторон относительно наличия (отсутствия) в действиях предпринимателя состава вмененного правонарушения, и с учетом результата их оценки в совокупности и взаимосвязи принять обоснованное решение.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3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Поскольку заявитель в силу части 1 статьи 41 Арбитражного процессуального кодекса Российской Федерации не лишен возможности приводить свои доводы по всем возникающим в ходе рассмотрения дела вопросам, представлять доказательства, а также отстаивать свою позицию доступными процессуальными способами при новом рассмотрении спора, основания для передачи жалобы для рассмотрения в судебном заседании Судебной коллегии по экономическим спорам Верховного Суда Российской Федерации обжалуемого судебного акта в порядке кассационного производства отсутствуют. При установленных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Федерации. Учитывая изложенное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