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ноября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публичное акционерное общество Банк ВТБ (далее – банк, гарант) обратилось в суд с заявлением о включении в реестр требований кредиторов должника его требования в размере 27 142 999 рублей 74 копеек. Определением Арбитражного суда города Москвы от 27.11.2018 заявление признано обоснованным. Постановлением Девятого арбитражного апелляционного суда от 04.02.2019 вышеуказанное определение изменено, требования банка признаны подлежащими удовлетворению после удовлетворения требований реестровых кредиторов. Постановлением Арбитражного суда Московского округа от 11.04.2019 вышеуказанные судебные акты отменены, обособленный спор направлен на новое рассмотрение в Арбитражный суд города Москвы. При новом рассмотрении определением Арбитражного суда города Москвы от 17.07.2019, оставленным без изменения постановлениями Девятого арбитражного апелляционного суда от 15.06.2020 и Арбитражного суда Московского округа от 26.08.2020, удовлетворено требование банка о включении в третью очередь реестра требований кредиторов должника в размере 27 142 640 рублей 12 копеек основного долга, а также в размере 359 рублей 62 копеек пени – в третью очередь отдельно с 2 удовлетворением после погашения основной задолженности и причитающихся процентов. В кассационной жалобе, поданной в Верховный Суд Российской Федерации, заявитель просит отменить названные судебные акты, направить дело на новое рассмотрение или принять по делу новый судебный акт о признании требования банка подлежащим удовлетворению за счёт имущества, оставшегося после удовлетворения реестровых кредиторов.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руководствуясь статьями 71 ,61.6, 126, 134, 137, 142 Федерального закона № 127-ФЗ от 26.10.2002 «О несостоятельности (банкротстве)», исходили из соблюдения банком как добросовестным гарантом порядка предъявления требования по банковской гарантии к должнику (принципалу), заявленного в установленный срок и не являющегося текущим, в связи с чем признали его обоснованным и подлежащим включению в реестр.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Доводы, изложенные в настоящей жалобе, являлись предметом изучения судебных инстанций, получили надлежащую правовую оценку, отклонены как несостоятельные с подробным изложением мотивов отклонения.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 установил: отказать конкурсному управляющему обществом с ограниченной ответственностью «Строймехпроект-П» Нерсисяну Арсену Гариковичу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