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31.10.2019, оставленным без изменения постановлением Девятого арбитражного апелляционного суда от 02.03.2020 в удовлетворении требований отказано. 2 Постановлением Арбитражного суда Московского округа от 23.07.2020 указанные судебные акты оставлены без изменения. Общество просит отменить обжалуемые судебные акты, считая их принятыми с существенным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Отказывая в удовлетворении требования и признавая обоснованными выводы налогового органа, суды руководствовались положениями статей 169, 171, 172, 252 Налогового кодекса Российской Федерации, а также правовой позицией, изложенной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 и исходили из того, что налоговым органом представлены доказательства, свидетельствующие о недостоверности сведений в представленных документах и отсутствии реальных хозяйственных операций с заявленным контрагентом, направленности действий налогоплательщика на получение необоснованной налоговой выгоды; в связи с несвоевременным перечислением в спорный период НДФЛ в бюджет общество, с учетом представленных им в 3 вышестоящий налоговый орган документов, привлечено к ответственности в виде взыскания штрафа по статье 123 Налогового кодекса Российской Федерации в размере 326 282 рублей и ему предложено уплатить пени в размере 658 684 рублей. Приведенные в жалобе доводы были предметом исследования судов и получили исчерпывающую правовую оценку с учетом установленных фактических обстоятельств дела, связанных с действительными налоговыми обязательствами общества и представленными им документами и контррасчетами, не опровергающими выводы налогового органа.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