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04.12.2019, оставленным без изменения постановлением Двадцать первого арбитражного апелляционного суда от 24.03.2020, иск удовлетворен. Постановлением Арбитражного суда Центрального округа от 23.07.2020 указанные судебные акты оставлены без изменения. Ответчик обратился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установив, что спорные работы в рамках заключенного сторонами контракта выполнены качественно, имеют потребительскую ценность для заказчика; при этом действия заказчика по одностороннему расторжению контракта не были обусловлены виновными действиями подрядчика.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которой оснований не имеется. Ссылка Центра на выводы по делу № А83-1321/2017 не может служить основанием для отмены судебных актов с учетом предмета иска и подлежащих доказыванию в рамках приведенного дела обстоятельств.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"Пласт" (подробнее) Ответчики: МЕЖРЕГИОНАЛЬНЫЙ ФИЛИАЛ ФЕДЕРАЛЬНОГО КАЗЕННОГО УЧРЕЖДЕНИЯ "ЦЕНТР ПО ОБЕСПЕЧЕНИЮ ДЕЯТЕЛЬНОСТИ КАЗАНАЧЕЙСТВА РОССИИ" В Г. СИМФЕРОПОЛЕ (подробнее) Межрегиональный филиал ФКУ "Центр по обеспечению деятельности Казначейства России" в г. Симферополе (подробнее) Федеральное казенное учреждение "Центр по обеспечению деятельности Казначейства России" (подробнее) Иные лица: АС Волгоградской области (подробнее) ООО "Эксперт"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