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28.11.2019 иск удовлетворен частично, с ответчика в пользу истца взыскано 105 771 168 рублей задолженности, 4 541 102,95 рублей неустойки, в удовлетворении остальной части иска отказано. Постановлением Девятого арбитражного апелляционного суда от 05.03.2020 решение суда первой инстанции в части удовлетворения требований отменено, в иске в этой части отказано. 2 Постановлением Арбитражного суда Московского округа от 20.07.2020 постановление суда апелляционной инстанции отменено, решение суда первой инстанции оставлено в силе. Предприятие обратилось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Отменяя постановление суда апелляционной инстанции и оставляя в силе решение суда первой инстанции, суд округа руководствовался положениями статей 702, 711, 753 Гражданского кодекса Российской Федерации, и исходил из имеющихся в материалах дела документов, которые были оценены судом первой инстанции, и с учетом которых суд признал доказанным факт выполнения истцом работ по контракту в спорном объеме в установленный срок, и их принятие ответчиком без замечаний. Доводы кассационной жалобы были предметом исследования судов первой и кассационной инстанций и получили исчерпывающую правовую оценку применительно к установленным обстоятельствам, не согласиться с которыми оснований не имеется. Доказательств того, что отказывая в назначении судебной экспертизы, суд первой инстанции не обеспечил полноту и объективность при сборе и исследовании доказательств, не представлено. В жалобе заявитель не указывает, что в судах апелляционной и кассационной инстанций заявлял ходатайство и суд отказался прослушать аудиозапись хода судебного заседания суда первой инстанции, из которой бы явствовало, что в протоколе судебного заседания, оформленном в письменной форме, не были зафиксированы доводы его представителя. При этом протокол судебного заседания, оформленный в письменной форме, является дополнительным средством фиксации данных о ходе судебного заседания. 3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