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29.03.2019 в удовлетворении первоначального иска отказано, встречный иск удовлетворен. Постановлением Семнадцатого арбитражного апелляционного суда от 03.07.2019 решение суда первой инстанции изменено, первоначальный иск удовлетворен частично: с общества в пользу колонии взыскана неустойка в размере 200 180,5 рублей, в удовлетворении остальной части первоначального иска отказано; встречный иск удовлетворен; в результате произведенного зачета первоначальных и встречных требований с общества в пользу колонии взыскано 139 681,56 рублей. Постановлением Арбитражного суда Уральского округа от 16.10.2019 постановление суда апелляционной инстанции отменено, дело направлено на новое рассмотрение в Семнадцатый арбитражный апелляционный суд. При новом рассмотрении дела постановлением Семнадцатого арбитражного апелляционного суда от 18.12.2019 решение суда первой инстанции изменено, первоначальный иск удовлетворен частично: с общества в пользу колонии взыскана неустойка в размере 48 717,39 рублей, в удовлетворении остальной части требований отказано; встречный иск удовлетворен; в результате произведенного зачета первоначальных и встречных требований с колонии в пользу общества взыскано 11 709,55 рублей, распределены судебные расходы. Постановлением Арбитражного суда Уральского округа от 23.07.2020 указанное постановление суда апелляционной инстанции оставлено без изменения. Колония обратилась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3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при новом рассмотрении дела удовлетворили первоначальный иск в части неустойки с учетом ее корректировки, признав, что сроки поставки товара нарушены, в удовлетворении первоначального иска в части взыскания штрафов отказали не установив факта неисполнения (ненадлежащего исполнения) обществом как поставщиком обязательств. Произведенный истцом расчет неустойки проверен судами апелляционной и кассационной инстанций и признан неправильным, поскольку истец исчисляет пени, в том числе уже на исполненное ответчиком обязательство применительно к периоду поставки. Указанные выводы судов в жалобе не опровергнуты. При этом ссылка на то, что при исчислении пени суд исходил из суммы большей, чем предусмотрено контрактом, прав заявителя не нарушает.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