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«Ураган» (далее – общество) обратилось в суд с заявлением о включении 31 007 965 рублей убытков в реестр требований кредиторов должника. Определением Арбитражного суда Приморского края от 25.09.2019, оставленным без изменения постановлением Пятого арбитражного апелляционного суда от 12.03.2020 и постановлением Арбитражного суда Дальневосточного округа от 13.07.2020, требования общества в размере 30 945 424 рублей убытков признаны обоснованными и подлежащими погашению за счёт имущества, оставшегося после удовлетворения требований кредиторов должника, включённых в реестр требований кредиторов,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рассмотрение. Исходя из содержания настоящей жалобы, заявитель не согласен с судебными актами в части признания обоснованности требований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15 и 53 Гражданского кодекса Российской Федерации, статей100 и 213.11 Федерального закона от 26.10.2002 № 127-ФЗ «О несостоятельности (банкротстве)», установив причинно-следственную связь между недобросовестными действиям должника как директора общества и убытками на стороне общества в указанном размере, пришли к выводу об обоснованности требований.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Писаревскому Вячеславу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