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государственное унитарное предприятие «Главное производственно-коммерческое управление по обслуживанию дипломатического корпуса при Министерстве иностранных дел Российской Федерации» обратилось в Арбитражный суд города Москвы с иском о взыскании с акционерного общества «Московская акционерная страховая компания» 5 121 751 рубля 75 копеек убытков и 443 312 рублей 17 копеек процентов за пользование чужими денежными средствами. Решением Арбитражного суда города Москвы от 23.10.2019 в удовлетворении иска отказано. Постановлением Девятого арбитражного апелляционного суда от 03.02.2020 решение суда первой инстанции оставлено без изменения. Арбитражный суд Московского округа постановлением от 29.06.2020 указанные судебные акты оставил без изменения. 2 Федеральное государственное унитарное предприятие «Главное производственно-коммерческое управление по обслуживанию дипломатического корпуса при Министерстве иностранных дел Российской Федерации»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Письмом судьи Верховного Суда Российской Федерации от 26.10.2020 дело истребовано из Арбитражного суда города Москвы для проверки доводов жалобы по его материалам.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истребованного дела, не установлено. Разрешая спор, суды руководствовались положениями статей 431, 929, 930, 941, 943 Гражданского кодекса Российской Федерации, статьей 9 Закона Российской Федерации от 27.11.1992 № 4015-1 «Об организации страхового дела в Российской Федерации», оценили представленные доказательства, в том числе экспертные заключения и их выводы, условия генерального договора страхования имущества и пришли к выводу о том, что наступившее событие не является страховым случаем, поскольку повреждение застрахованного имущества произошло в результате дефекта, существовавшего до начала действия договора. Доводы жалобы о наступлении страхового случая, влекущего выплату страхового возмещения,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государственному унитарному предприятию «Главное производственно-коммерческое управление по обслуживанию дипломатического корпуса при Министерстве иностранных дел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