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09.01.2020, оставленным без изменения постановлением Пятого арбитражного апелляционного суда от 24.03.2020 и постановлением Арбитражного суда Дальневосточного округа от 23.07.2020, в удовлетворении искового заявления отказано. В кассационной жалобе, поданной в Верховный Суд Российской Федерации, министерство, ссылаясь на существенное нарушение норм права, просит отменить судебные акты и удовлетворить заявленное требование.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24.12.2018 между департаментом (государственный заказчик) и обществом (подрядчик) заключен государственный контракт № 555/18, по условиям которого подрядчик обязался по поручению государственного заказчика выполнить подрядные работы по ремонту автомобильных дорог общего пользования регионального значения. Срок действия контракта с момента его заключения по 31.12.2019. Ссылаясь на нарушение подрядчиком пункта 4.26 контракта (привлечение к исполнению контракта субподрядчиков из числа субъектов малого предпринимательства, социально ориентированных некоммерческих организаций), государственный заказчик начислил штрафные санкции в сумме 791 633 рублей 13 копеек и направил ответчику претензию от 12.08.2019 № 16/7870/8 с требованием перечислить в добровольном порядке сумму штрафных санкций в течение 10 дней. Неисполнение претензии в установленный срок послужило основанием для обращения департамента в суд. Отказывая в удовлетворении требования, суды первой и апелляционной инстанций,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системе), пришли к выводу об отсутствии у истца оснований для взыскания с ответчика спорной суммы штрафа, с чем согласился суд округа. Принимая во внимание отсутствие доказательств уведомления государственным заказчиком подрядчика о ненадлежащем исполнении обязательств, а также отсутствие заявления подрядчика об отказе от выполнения своих обязательств, суды, признав спорный контракт действующим, а требование истца о взыскании с подрядчика штрафа 3 преждевременным, исходя из того, что просрочка исполнения обязательств не является в силу пункта 7.6 контракта основанием для взыскания штрафа, пришли к выводу об отсутствии оснований для удовлетворения требований истца о взыскании штрафа. Доводы, изложенные в кассационной жалобе, в том числе о неисполнении ответчиком условий контракта в части привлечения субподрядчиков из числа субъектов малого предпринимательства, социально ориентированных некоммерческих организаций, являлись предметом рассмотрения судов и получили надлежащую правовую оценку, выражают несогласие с установленными фактическими обстоятельствами дела, направлены на их переоценку, не подтверждают существенных нарушений норм материального права и норм процессуального права, повлиявших на исход дела, в связи с чем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транспорта и дорожного хозяйства Приморского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