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16.10.2019, оставленным без изменения постановлением Девятого арбитражного апелляционного суда от 16.03.2020, в удовлетворении заявленного требования отказано. 2 Постановлением Арбитражного суда Московского округа от 20.07.2020 указанные судебные акты оставлены без изменения. В кассационной жалобе, поступившей в Верховный Суд Российской Федерации, общество просит отменить обжалуемые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административный орган выявил факт нарушения обществом порядка представления акционеру информации, предусмотренной федеральными законами и принятыми в соответствии с ними иными нормативными актами. Частью 1 статьи 15.19 Кодекса Российской Федерации об административных правонарушениях установлена административная ответственность за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3 Оценив представленные доказательства, руководствуясь положениями Федерального закона от 26.12.1995 № 208-ФЗ «Об акционерных обществах», суды пришли к выводу о наличии в действиях общества состава правонарушения, ответственность за совершение которого предусмотрена частью 1 статьи 15.19 Кодекса Российской Федерации об административных правонарушениях. Признавая вину общества в совершенном правонарушении, суды не усмотрели объективных препятствий для соблюдения обществом правил и норм, за нарушение которых предусмотрена административная ответственность. Процедура и срок давности привлечения к ответственности соблюдены. Несогласие общества с установленными судами фактическими обстоятельствами дела и с толкованием норм законодательства, подлежащего применению к рассматриваемым правоотношениям,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